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0B8A9" w14:textId="38705993" w:rsidR="0029350F" w:rsidRDefault="0029350F" w:rsidP="0030624F">
      <w:pPr>
        <w:ind w:left="720" w:hanging="360"/>
      </w:pPr>
    </w:p>
    <w:p w14:paraId="5DFB3814" w14:textId="022956A8" w:rsidR="0029350F" w:rsidRPr="00EE098E" w:rsidRDefault="0029350F" w:rsidP="00EE098E">
      <w:pPr>
        <w:ind w:left="567" w:hanging="567"/>
        <w:rPr>
          <w:b/>
          <w:bCs/>
          <w:sz w:val="40"/>
          <w:szCs w:val="40"/>
        </w:rPr>
      </w:pPr>
      <w:r w:rsidRPr="00EE098E">
        <w:rPr>
          <w:b/>
          <w:bCs/>
          <w:sz w:val="40"/>
          <w:szCs w:val="40"/>
        </w:rPr>
        <w:t xml:space="preserve">Clinical Team Training Checklist </w:t>
      </w:r>
    </w:p>
    <w:p w14:paraId="55D54631" w14:textId="07A6A025" w:rsidR="0029350F" w:rsidRPr="001875EE" w:rsidRDefault="0029350F" w:rsidP="00EE098E">
      <w:pPr>
        <w:ind w:left="142" w:hanging="142"/>
        <w:jc w:val="both"/>
        <w:rPr>
          <w:sz w:val="24"/>
          <w:szCs w:val="24"/>
        </w:rPr>
      </w:pPr>
      <w:r w:rsidRPr="001875EE">
        <w:rPr>
          <w:sz w:val="24"/>
          <w:szCs w:val="24"/>
        </w:rPr>
        <w:t xml:space="preserve">The </w:t>
      </w:r>
      <w:r w:rsidR="009E38E4">
        <w:rPr>
          <w:b/>
          <w:bCs/>
          <w:sz w:val="24"/>
          <w:szCs w:val="24"/>
        </w:rPr>
        <w:t>T4P</w:t>
      </w:r>
      <w:r w:rsidRPr="001875EE">
        <w:rPr>
          <w:b/>
          <w:bCs/>
          <w:sz w:val="24"/>
          <w:szCs w:val="24"/>
        </w:rPr>
        <w:t xml:space="preserve"> Trial</w:t>
      </w:r>
      <w:r w:rsidRPr="001875EE">
        <w:rPr>
          <w:sz w:val="24"/>
          <w:szCs w:val="24"/>
        </w:rPr>
        <w:t xml:space="preserve"> is running on your critical care unit. </w:t>
      </w:r>
    </w:p>
    <w:p w14:paraId="2AB7149A" w14:textId="213D2F5C" w:rsidR="0029350F" w:rsidRDefault="0029350F" w:rsidP="00EE098E">
      <w:pPr>
        <w:jc w:val="both"/>
        <w:rPr>
          <w:sz w:val="24"/>
          <w:szCs w:val="24"/>
        </w:rPr>
      </w:pPr>
      <w:r w:rsidRPr="001875EE">
        <w:rPr>
          <w:sz w:val="24"/>
          <w:szCs w:val="24"/>
        </w:rPr>
        <w:t xml:space="preserve">As a clinical team member you can get involved with checking eligibility and randomising patients into the </w:t>
      </w:r>
      <w:r w:rsidR="009E38E4">
        <w:rPr>
          <w:sz w:val="24"/>
          <w:szCs w:val="24"/>
        </w:rPr>
        <w:t>T4P</w:t>
      </w:r>
      <w:r w:rsidRPr="001875EE">
        <w:rPr>
          <w:sz w:val="24"/>
          <w:szCs w:val="24"/>
        </w:rPr>
        <w:t xml:space="preserve"> study. Your role is valuable in supporting the Principial Investigator and research teams in ensuring the trial is delivered successfully on your unit.</w:t>
      </w:r>
      <w:r w:rsidR="00E16316">
        <w:rPr>
          <w:sz w:val="24"/>
          <w:szCs w:val="24"/>
        </w:rPr>
        <w:t xml:space="preserve"> You can find more information about the trial </w:t>
      </w:r>
      <w:hyperlink r:id="rId7" w:history="1">
        <w:r w:rsidR="00D83BA3" w:rsidRPr="00EE098E">
          <w:rPr>
            <w:rStyle w:val="Hyperlink"/>
            <w:sz w:val="24"/>
            <w:szCs w:val="24"/>
          </w:rPr>
          <w:t>here</w:t>
        </w:r>
      </w:hyperlink>
      <w:r w:rsidR="00D83BA3">
        <w:rPr>
          <w:sz w:val="24"/>
          <w:szCs w:val="24"/>
        </w:rPr>
        <w:t xml:space="preserve"> or by scanning QR code</w:t>
      </w:r>
      <w:r w:rsidR="00A128C6">
        <w:rPr>
          <w:sz w:val="24"/>
          <w:szCs w:val="24"/>
        </w:rPr>
        <w:t xml:space="preserve"> 1 on the next page</w:t>
      </w:r>
      <w:r w:rsidR="00EE098E">
        <w:rPr>
          <w:sz w:val="24"/>
          <w:szCs w:val="24"/>
        </w:rPr>
        <w:t>.</w:t>
      </w:r>
    </w:p>
    <w:p w14:paraId="69B6A9E2" w14:textId="1F965E08" w:rsidR="00EE098E" w:rsidRDefault="001875EE" w:rsidP="00EE09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become an active member of the trial team on your unit, </w:t>
      </w:r>
      <w:r w:rsidR="00E16316">
        <w:rPr>
          <w:sz w:val="24"/>
          <w:szCs w:val="24"/>
        </w:rPr>
        <w:t xml:space="preserve">you will need trial training. </w:t>
      </w:r>
      <w:r w:rsidR="00EE098E">
        <w:rPr>
          <w:sz w:val="24"/>
          <w:szCs w:val="24"/>
        </w:rPr>
        <w:t>This is simple to undertake, and is outlined below step by step.</w:t>
      </w:r>
    </w:p>
    <w:p w14:paraId="3A60F3CC" w14:textId="5503D7C5" w:rsidR="001875EE" w:rsidRDefault="00EE098E" w:rsidP="0070503F">
      <w:pPr>
        <w:rPr>
          <w:sz w:val="24"/>
          <w:szCs w:val="24"/>
        </w:rPr>
      </w:pPr>
      <w:r w:rsidRPr="0070503F">
        <w:rPr>
          <w:i/>
          <w:iCs/>
          <w:sz w:val="24"/>
          <w:szCs w:val="24"/>
        </w:rPr>
        <w:t>N</w:t>
      </w:r>
      <w:r w:rsidR="00631716">
        <w:rPr>
          <w:i/>
          <w:iCs/>
          <w:sz w:val="24"/>
          <w:szCs w:val="24"/>
        </w:rPr>
        <w:t>B</w:t>
      </w:r>
      <w:r w:rsidRPr="0070503F">
        <w:rPr>
          <w:i/>
          <w:i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E16316">
        <w:rPr>
          <w:sz w:val="24"/>
          <w:szCs w:val="24"/>
        </w:rPr>
        <w:t xml:space="preserve">GCP training </w:t>
      </w:r>
      <w:r w:rsidR="00E16316" w:rsidRPr="0070503F">
        <w:rPr>
          <w:b/>
          <w:bCs/>
          <w:sz w:val="24"/>
          <w:szCs w:val="24"/>
        </w:rPr>
        <w:t>is not</w:t>
      </w:r>
      <w:r w:rsidR="00E16316">
        <w:rPr>
          <w:sz w:val="24"/>
          <w:szCs w:val="24"/>
        </w:rPr>
        <w:t xml:space="preserve"> required for </w:t>
      </w:r>
      <w:r>
        <w:rPr>
          <w:sz w:val="24"/>
          <w:szCs w:val="24"/>
        </w:rPr>
        <w:t>individuals</w:t>
      </w:r>
      <w:r w:rsidR="00E16316">
        <w:rPr>
          <w:sz w:val="24"/>
          <w:szCs w:val="24"/>
        </w:rPr>
        <w:t xml:space="preserve"> only confirming eligibility </w:t>
      </w:r>
      <w:r w:rsidR="00631716">
        <w:rPr>
          <w:sz w:val="24"/>
          <w:szCs w:val="24"/>
        </w:rPr>
        <w:t>&amp;</w:t>
      </w:r>
      <w:r w:rsidR="00E16316">
        <w:rPr>
          <w:sz w:val="24"/>
          <w:szCs w:val="24"/>
        </w:rPr>
        <w:t xml:space="preserve"> randomising</w:t>
      </w:r>
      <w:r w:rsidR="00A128C6">
        <w:rPr>
          <w:sz w:val="24"/>
          <w:szCs w:val="24"/>
        </w:rPr>
        <w:t>.</w:t>
      </w:r>
    </w:p>
    <w:tbl>
      <w:tblPr>
        <w:tblStyle w:val="TableGridLight"/>
        <w:tblpPr w:leftFromText="180" w:rightFromText="180" w:vertAnchor="text" w:horzAnchor="margin" w:tblpY="197"/>
        <w:tblW w:w="8926" w:type="dxa"/>
        <w:tblLook w:val="04A0" w:firstRow="1" w:lastRow="0" w:firstColumn="1" w:lastColumn="0" w:noHBand="0" w:noVBand="1"/>
      </w:tblPr>
      <w:tblGrid>
        <w:gridCol w:w="704"/>
        <w:gridCol w:w="7229"/>
        <w:gridCol w:w="993"/>
      </w:tblGrid>
      <w:tr w:rsidR="001875EE" w14:paraId="7D8AF8C1" w14:textId="77777777" w:rsidTr="00EE098E">
        <w:trPr>
          <w:trHeight w:val="553"/>
        </w:trPr>
        <w:tc>
          <w:tcPr>
            <w:tcW w:w="704" w:type="dxa"/>
          </w:tcPr>
          <w:p w14:paraId="44FFFA3D" w14:textId="77777777" w:rsidR="001875EE" w:rsidRPr="00EE098E" w:rsidRDefault="001875EE" w:rsidP="00EE098E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5B009AB9" w14:textId="18B24375" w:rsidR="00DE7DF3" w:rsidRPr="00057AB7" w:rsidRDefault="001875EE" w:rsidP="00D83BA3">
            <w:pPr>
              <w:rPr>
                <w:sz w:val="24"/>
                <w:szCs w:val="24"/>
              </w:rPr>
            </w:pPr>
            <w:r w:rsidRPr="00D83BA3">
              <w:rPr>
                <w:sz w:val="24"/>
                <w:szCs w:val="24"/>
              </w:rPr>
              <w:t xml:space="preserve">Contact your local research team about their local processes for </w:t>
            </w:r>
            <w:r w:rsidR="00EE098E">
              <w:rPr>
                <w:sz w:val="24"/>
                <w:szCs w:val="24"/>
              </w:rPr>
              <w:t xml:space="preserve">the </w:t>
            </w:r>
            <w:r w:rsidR="009E38E4">
              <w:rPr>
                <w:sz w:val="24"/>
                <w:szCs w:val="24"/>
              </w:rPr>
              <w:t xml:space="preserve"> T4P </w:t>
            </w:r>
            <w:r w:rsidR="00EE098E">
              <w:rPr>
                <w:sz w:val="24"/>
                <w:szCs w:val="24"/>
              </w:rPr>
              <w:t xml:space="preserve"> trial</w:t>
            </w:r>
            <w:r w:rsidR="00DE7DF3">
              <w:rPr>
                <w:sz w:val="24"/>
                <w:szCs w:val="24"/>
              </w:rPr>
              <w:t xml:space="preserve"> and where to find </w:t>
            </w:r>
            <w:r w:rsidR="00F35406">
              <w:rPr>
                <w:sz w:val="24"/>
                <w:szCs w:val="24"/>
              </w:rPr>
              <w:t xml:space="preserve">the </w:t>
            </w:r>
            <w:r w:rsidR="00DE7DF3">
              <w:rPr>
                <w:sz w:val="24"/>
                <w:szCs w:val="24"/>
              </w:rPr>
              <w:t>training</w:t>
            </w:r>
            <w:r w:rsidR="00F35406">
              <w:rPr>
                <w:sz w:val="24"/>
                <w:szCs w:val="24"/>
              </w:rPr>
              <w:t>/trial</w:t>
            </w:r>
            <w:r w:rsidR="00DE7DF3">
              <w:rPr>
                <w:sz w:val="24"/>
                <w:szCs w:val="24"/>
              </w:rPr>
              <w:t xml:space="preserve"> resources.</w:t>
            </w:r>
          </w:p>
          <w:p w14:paraId="481EA409" w14:textId="57BBCEFD" w:rsidR="00EE098E" w:rsidRDefault="00EE098E" w:rsidP="00D83BA3">
            <w:pPr>
              <w:rPr>
                <w:sz w:val="24"/>
                <w:szCs w:val="24"/>
              </w:rPr>
            </w:pPr>
            <w:r w:rsidRPr="00EE098E">
              <w:rPr>
                <w:sz w:val="24"/>
                <w:szCs w:val="24"/>
                <w:highlight w:val="yellow"/>
              </w:rPr>
              <w:t>[INSERT LOCAL RESEARCH TEAM CONTACT DETAILS]</w:t>
            </w:r>
          </w:p>
          <w:p w14:paraId="2B2FDDCA" w14:textId="7F2BFD9C" w:rsidR="00DE7DF3" w:rsidRPr="00D83BA3" w:rsidRDefault="00DE7DF3" w:rsidP="00D83BA3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1688870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665C49E0" w14:textId="1A80EAA8" w:rsidR="001875EE" w:rsidRPr="00EE098E" w:rsidRDefault="00D83BA3" w:rsidP="00D83BA3">
                <w:pPr>
                  <w:rPr>
                    <w:sz w:val="36"/>
                    <w:szCs w:val="36"/>
                  </w:rPr>
                </w:pPr>
                <w:r w:rsidRPr="00EE098E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EE098E" w14:paraId="436874AA" w14:textId="77777777" w:rsidTr="00EE098E">
        <w:trPr>
          <w:trHeight w:val="2263"/>
        </w:trPr>
        <w:tc>
          <w:tcPr>
            <w:tcW w:w="704" w:type="dxa"/>
          </w:tcPr>
          <w:p w14:paraId="5775F0E8" w14:textId="3E074D02" w:rsidR="001875EE" w:rsidRPr="00EE098E" w:rsidRDefault="001875EE" w:rsidP="00EE098E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33C50B31" w14:textId="4C31BB87" w:rsidR="001875EE" w:rsidRPr="00D83BA3" w:rsidRDefault="001875EE" w:rsidP="00A43B59">
            <w:pPr>
              <w:rPr>
                <w:sz w:val="24"/>
                <w:szCs w:val="24"/>
              </w:rPr>
            </w:pPr>
            <w:r w:rsidRPr="00D83BA3">
              <w:rPr>
                <w:sz w:val="24"/>
                <w:szCs w:val="24"/>
              </w:rPr>
              <w:t>Undergo</w:t>
            </w:r>
            <w:r w:rsidR="00E16316" w:rsidRPr="00D83BA3">
              <w:rPr>
                <w:sz w:val="24"/>
                <w:szCs w:val="24"/>
              </w:rPr>
              <w:t xml:space="preserve"> Trial</w:t>
            </w:r>
            <w:r w:rsidRPr="00D83BA3">
              <w:rPr>
                <w:sz w:val="24"/>
                <w:szCs w:val="24"/>
              </w:rPr>
              <w:t xml:space="preserve"> training via one of the following methods</w:t>
            </w:r>
          </w:p>
          <w:p w14:paraId="6197BC8A" w14:textId="50F5048C" w:rsidR="00400DDD" w:rsidRPr="00D83BA3" w:rsidRDefault="001875EE" w:rsidP="00A43B5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83BA3">
              <w:rPr>
                <w:sz w:val="24"/>
                <w:szCs w:val="24"/>
              </w:rPr>
              <w:t xml:space="preserve">Attend a </w:t>
            </w:r>
            <w:r w:rsidR="009E38E4">
              <w:rPr>
                <w:sz w:val="24"/>
                <w:szCs w:val="24"/>
              </w:rPr>
              <w:t>T4P</w:t>
            </w:r>
            <w:r w:rsidRPr="00D83BA3">
              <w:rPr>
                <w:sz w:val="24"/>
                <w:szCs w:val="24"/>
              </w:rPr>
              <w:t xml:space="preserve"> Eligibility and Randomisation drop-in session </w:t>
            </w:r>
            <w:r w:rsidR="00E16316" w:rsidRPr="00D83BA3">
              <w:rPr>
                <w:sz w:val="24"/>
                <w:szCs w:val="24"/>
              </w:rPr>
              <w:t>(held monthly on Teams)</w:t>
            </w:r>
            <w:r w:rsidR="00606725">
              <w:rPr>
                <w:sz w:val="24"/>
                <w:szCs w:val="24"/>
              </w:rPr>
              <w:t xml:space="preserve">. Dates and details will be sent monthly to the local research team, or you can e-mail us at </w:t>
            </w:r>
            <w:hyperlink r:id="rId8" w:history="1">
              <w:r w:rsidR="00606725" w:rsidRPr="001348AD">
                <w:rPr>
                  <w:rStyle w:val="Hyperlink"/>
                  <w:sz w:val="24"/>
                  <w:szCs w:val="24"/>
                </w:rPr>
                <w:t>T4P@icnarc.org</w:t>
              </w:r>
            </w:hyperlink>
            <w:r w:rsidR="00606725">
              <w:rPr>
                <w:sz w:val="24"/>
                <w:szCs w:val="24"/>
              </w:rPr>
              <w:t xml:space="preserve"> to inquire. </w:t>
            </w:r>
          </w:p>
          <w:p w14:paraId="68E5AD0D" w14:textId="4315606E" w:rsidR="009241BD" w:rsidRPr="00A43B59" w:rsidRDefault="00E16316" w:rsidP="00A43B59">
            <w:pPr>
              <w:pStyle w:val="ListParagraph"/>
              <w:numPr>
                <w:ilvl w:val="0"/>
                <w:numId w:val="3"/>
              </w:numPr>
              <w:spacing w:before="240"/>
              <w:rPr>
                <w:sz w:val="24"/>
                <w:szCs w:val="24"/>
              </w:rPr>
            </w:pPr>
            <w:r w:rsidRPr="00D83BA3">
              <w:rPr>
                <w:sz w:val="24"/>
                <w:szCs w:val="24"/>
              </w:rPr>
              <w:t>Self-directed learning via training slides</w:t>
            </w:r>
            <w:r w:rsidR="00606725">
              <w:rPr>
                <w:sz w:val="24"/>
                <w:szCs w:val="24"/>
              </w:rPr>
              <w:t xml:space="preserve">, which can be found on our website by following QR code 2 at the bottom of the page, or clicking the link </w:t>
            </w:r>
            <w:hyperlink r:id="rId9" w:history="1">
              <w:r w:rsidR="009241BD">
                <w:rPr>
                  <w:rStyle w:val="Hyperlink"/>
                  <w:sz w:val="24"/>
                  <w:szCs w:val="24"/>
                </w:rPr>
                <w:t>here</w:t>
              </w:r>
            </w:hyperlink>
            <w:r w:rsidR="00A43B59">
              <w:rPr>
                <w:sz w:val="24"/>
                <w:szCs w:val="24"/>
              </w:rPr>
              <w:t>.</w:t>
            </w:r>
          </w:p>
          <w:p w14:paraId="49F47064" w14:textId="23ABA498" w:rsidR="00E16316" w:rsidRPr="00D83BA3" w:rsidRDefault="00E16316" w:rsidP="00A43B5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83BA3">
              <w:rPr>
                <w:sz w:val="24"/>
                <w:szCs w:val="24"/>
              </w:rPr>
              <w:t xml:space="preserve">Complete the </w:t>
            </w:r>
            <w:r w:rsidR="009E38E4">
              <w:rPr>
                <w:sz w:val="24"/>
                <w:szCs w:val="24"/>
              </w:rPr>
              <w:t>T4P</w:t>
            </w:r>
            <w:r w:rsidRPr="00D83BA3">
              <w:rPr>
                <w:sz w:val="24"/>
                <w:szCs w:val="24"/>
              </w:rPr>
              <w:t xml:space="preserve"> SWAY training module</w:t>
            </w:r>
            <w:r w:rsidR="009241BD">
              <w:rPr>
                <w:sz w:val="24"/>
                <w:szCs w:val="24"/>
              </w:rPr>
              <w:t xml:space="preserve">,  which can be found on our website by following QR code 2 at the bottom of the page, or clicking the link </w:t>
            </w:r>
            <w:hyperlink r:id="rId10" w:history="1">
              <w:r w:rsidR="009241BD">
                <w:rPr>
                  <w:rStyle w:val="Hyperlink"/>
                  <w:sz w:val="24"/>
                  <w:szCs w:val="24"/>
                </w:rPr>
                <w:t>here</w:t>
              </w:r>
            </w:hyperlink>
            <w:r w:rsidR="00A43B59">
              <w:rPr>
                <w:sz w:val="24"/>
                <w:szCs w:val="24"/>
              </w:rPr>
              <w:t>.</w:t>
            </w:r>
          </w:p>
          <w:p w14:paraId="6F2C6F8B" w14:textId="77777777" w:rsidR="00E16316" w:rsidRDefault="00400DDD" w:rsidP="00A43B5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83BA3">
              <w:rPr>
                <w:sz w:val="24"/>
                <w:szCs w:val="24"/>
              </w:rPr>
              <w:t>Complete t</w:t>
            </w:r>
            <w:r w:rsidR="00E16316" w:rsidRPr="00D83BA3">
              <w:rPr>
                <w:sz w:val="24"/>
                <w:szCs w:val="24"/>
              </w:rPr>
              <w:t>raining with a member of the research team</w:t>
            </w:r>
            <w:r w:rsidR="00A43B59">
              <w:rPr>
                <w:sz w:val="24"/>
                <w:szCs w:val="24"/>
              </w:rPr>
              <w:t>.</w:t>
            </w:r>
          </w:p>
          <w:p w14:paraId="62A7EA97" w14:textId="7409CBD8" w:rsidR="00057AB7" w:rsidRPr="00D83BA3" w:rsidRDefault="00057AB7" w:rsidP="00057AB7">
            <w:pPr>
              <w:pStyle w:val="ListParagraph"/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1276452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5EDF9BCA" w14:textId="3412FEBC" w:rsidR="001875EE" w:rsidRPr="00EE098E" w:rsidRDefault="00D83BA3" w:rsidP="00D83BA3">
                <w:pPr>
                  <w:rPr>
                    <w:sz w:val="36"/>
                    <w:szCs w:val="36"/>
                  </w:rPr>
                </w:pPr>
                <w:r w:rsidRPr="00EE098E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400DDD" w14:paraId="2215C781" w14:textId="77777777" w:rsidTr="00EE098E">
        <w:tc>
          <w:tcPr>
            <w:tcW w:w="704" w:type="dxa"/>
          </w:tcPr>
          <w:p w14:paraId="44D69C14" w14:textId="77777777" w:rsidR="00400DDD" w:rsidRPr="00EE098E" w:rsidRDefault="00400DDD" w:rsidP="00EE098E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47C9BAE4" w14:textId="51AF43B7" w:rsidR="00400DDD" w:rsidRPr="00D83BA3" w:rsidRDefault="00400DDD" w:rsidP="00D83BA3">
            <w:pPr>
              <w:rPr>
                <w:sz w:val="24"/>
                <w:szCs w:val="24"/>
              </w:rPr>
            </w:pPr>
            <w:r w:rsidRPr="00D83BA3">
              <w:rPr>
                <w:sz w:val="24"/>
                <w:szCs w:val="24"/>
              </w:rPr>
              <w:t>Ask your local research team where the relevant documents are kept on the unit, for example randomisation forms, posters etc.</w:t>
            </w:r>
          </w:p>
          <w:p w14:paraId="782E77D7" w14:textId="4BC5AE67" w:rsidR="00400DDD" w:rsidRPr="00D83BA3" w:rsidRDefault="00400DDD" w:rsidP="00D83BA3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-1516068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29B8655F" w14:textId="4626B522" w:rsidR="00400DDD" w:rsidRPr="00EE098E" w:rsidRDefault="003E78F4" w:rsidP="00D83BA3">
                <w:pPr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E16316" w14:paraId="7F010659" w14:textId="77777777" w:rsidTr="00EE098E">
        <w:trPr>
          <w:trHeight w:val="902"/>
        </w:trPr>
        <w:tc>
          <w:tcPr>
            <w:tcW w:w="704" w:type="dxa"/>
          </w:tcPr>
          <w:p w14:paraId="0EF28FC5" w14:textId="77777777" w:rsidR="00E16316" w:rsidRPr="00EE098E" w:rsidRDefault="00E16316" w:rsidP="00EE098E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136FC74F" w14:textId="639A6798" w:rsidR="003E78F4" w:rsidRDefault="00631716" w:rsidP="00D83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Once you have completed training, c</w:t>
            </w:r>
            <w:r w:rsidR="00E16316" w:rsidRPr="00D83BA3">
              <w:rPr>
                <w:sz w:val="24"/>
                <w:szCs w:val="24"/>
              </w:rPr>
              <w:t>ontact your local research team to sign your name on the training log</w:t>
            </w:r>
            <w:r w:rsidR="003E78F4">
              <w:rPr>
                <w:sz w:val="24"/>
                <w:szCs w:val="24"/>
              </w:rPr>
              <w:t>.</w:t>
            </w:r>
          </w:p>
          <w:p w14:paraId="59A94B33" w14:textId="24B71E75" w:rsidR="00E16316" w:rsidRDefault="003E78F4" w:rsidP="00D83BA3">
            <w:pPr>
              <w:rPr>
                <w:sz w:val="24"/>
                <w:szCs w:val="24"/>
              </w:rPr>
            </w:pPr>
            <w:r w:rsidRPr="003E78F4">
              <w:rPr>
                <w:b/>
                <w:bCs/>
                <w:sz w:val="24"/>
                <w:szCs w:val="24"/>
              </w:rPr>
              <w:t>*Note</w:t>
            </w:r>
            <w:r>
              <w:rPr>
                <w:sz w:val="24"/>
                <w:szCs w:val="24"/>
              </w:rPr>
              <w:t xml:space="preserve"> – if </w:t>
            </w:r>
            <w:r w:rsidRPr="003E78F4">
              <w:rPr>
                <w:sz w:val="24"/>
                <w:szCs w:val="24"/>
                <w:u w:val="single"/>
              </w:rPr>
              <w:t>only</w:t>
            </w:r>
            <w:r>
              <w:rPr>
                <w:sz w:val="24"/>
                <w:szCs w:val="24"/>
              </w:rPr>
              <w:t xml:space="preserve"> performing eligibility and randomisation tasks, then you do not need to sign the delegation log. </w:t>
            </w:r>
          </w:p>
          <w:p w14:paraId="0A82254D" w14:textId="0F7EEDA7" w:rsidR="003E78F4" w:rsidRPr="00D83BA3" w:rsidRDefault="003E78F4" w:rsidP="00D83BA3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2025429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3DDDBF4F" w14:textId="61328892" w:rsidR="00E16316" w:rsidRPr="00EE098E" w:rsidRDefault="00D83BA3" w:rsidP="00D83BA3">
                <w:pPr>
                  <w:rPr>
                    <w:sz w:val="36"/>
                    <w:szCs w:val="36"/>
                  </w:rPr>
                </w:pPr>
                <w:r w:rsidRPr="00EE098E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E16316" w14:paraId="5D5A6AF6" w14:textId="77777777" w:rsidTr="00A128C6">
        <w:trPr>
          <w:trHeight w:val="1086"/>
        </w:trPr>
        <w:tc>
          <w:tcPr>
            <w:tcW w:w="704" w:type="dxa"/>
          </w:tcPr>
          <w:p w14:paraId="334A8B33" w14:textId="77777777" w:rsidR="00E16316" w:rsidRPr="00EE098E" w:rsidRDefault="00E16316" w:rsidP="00EE098E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4DCB04B5" w14:textId="25F3FE76" w:rsidR="00E16316" w:rsidRPr="009E38E4" w:rsidRDefault="00057AB7" w:rsidP="00D83BA3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Ask your</w:t>
            </w:r>
            <w:r w:rsidR="0015786A">
              <w:rPr>
                <w:sz w:val="24"/>
                <w:szCs w:val="24"/>
              </w:rPr>
              <w:t xml:space="preserve"> local research team </w:t>
            </w:r>
            <w:r>
              <w:rPr>
                <w:sz w:val="24"/>
                <w:szCs w:val="24"/>
              </w:rPr>
              <w:t>to</w:t>
            </w:r>
            <w:r w:rsidR="0015786A">
              <w:rPr>
                <w:sz w:val="24"/>
                <w:szCs w:val="24"/>
              </w:rPr>
              <w:t xml:space="preserve"> s</w:t>
            </w:r>
            <w:r w:rsidR="00400DDD" w:rsidRPr="009E38E4">
              <w:rPr>
                <w:sz w:val="24"/>
                <w:szCs w:val="24"/>
              </w:rPr>
              <w:t xml:space="preserve">end a copy of the training </w:t>
            </w:r>
            <w:r w:rsidR="003E78F4">
              <w:rPr>
                <w:sz w:val="24"/>
                <w:szCs w:val="24"/>
              </w:rPr>
              <w:t xml:space="preserve">log </w:t>
            </w:r>
            <w:r w:rsidR="00400DDD" w:rsidRPr="009E38E4">
              <w:rPr>
                <w:sz w:val="24"/>
                <w:szCs w:val="24"/>
              </w:rPr>
              <w:t xml:space="preserve">to </w:t>
            </w:r>
            <w:hyperlink r:id="rId11" w:history="1">
              <w:r w:rsidR="009E38E4" w:rsidRPr="00CA69D1">
                <w:rPr>
                  <w:rStyle w:val="Hyperlink"/>
                  <w:sz w:val="24"/>
                  <w:szCs w:val="24"/>
                </w:rPr>
                <w:t xml:space="preserve"> T4P@icnarc.org</w:t>
              </w:r>
            </w:hyperlink>
            <w:r w:rsidR="00A128C6" w:rsidRPr="009E38E4">
              <w:rPr>
                <w:rStyle w:val="Hyperlink"/>
                <w:color w:val="auto"/>
                <w:sz w:val="24"/>
                <w:szCs w:val="24"/>
              </w:rPr>
              <w:t xml:space="preserve"> </w:t>
            </w:r>
            <w:r w:rsidR="00A128C6" w:rsidRPr="009E38E4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and request </w:t>
            </w:r>
            <w:r w:rsidR="00290223">
              <w:rPr>
                <w:rStyle w:val="Hyperlink"/>
                <w:color w:val="auto"/>
                <w:sz w:val="24"/>
                <w:szCs w:val="24"/>
                <w:u w:val="none"/>
              </w:rPr>
              <w:t>your</w:t>
            </w:r>
            <w:r w:rsidR="0015786A">
              <w:rPr>
                <w:rStyle w:val="Hyperlink"/>
              </w:rPr>
              <w:t xml:space="preserve"> </w:t>
            </w:r>
            <w:r w:rsidR="00A128C6" w:rsidRPr="009E38E4">
              <w:rPr>
                <w:rStyle w:val="Hyperlink"/>
                <w:color w:val="auto"/>
                <w:sz w:val="24"/>
                <w:szCs w:val="24"/>
                <w:u w:val="none"/>
              </w:rPr>
              <w:t>access to</w:t>
            </w:r>
            <w:r w:rsidR="00A128C6" w:rsidRPr="009E38E4">
              <w:rPr>
                <w:sz w:val="24"/>
                <w:szCs w:val="24"/>
              </w:rPr>
              <w:t xml:space="preserve"> sealed envelope (Randomisation service) if required.</w:t>
            </w:r>
          </w:p>
        </w:tc>
        <w:sdt>
          <w:sdtPr>
            <w:rPr>
              <w:sz w:val="36"/>
              <w:szCs w:val="36"/>
            </w:rPr>
            <w:id w:val="507577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00808427" w14:textId="2D981ACB" w:rsidR="00E16316" w:rsidRPr="00EE098E" w:rsidRDefault="00D83BA3" w:rsidP="00D83BA3">
                <w:pPr>
                  <w:rPr>
                    <w:sz w:val="36"/>
                    <w:szCs w:val="36"/>
                  </w:rPr>
                </w:pPr>
                <w:r w:rsidRPr="00EE098E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400DDD" w14:paraId="30CDEA19" w14:textId="77777777" w:rsidTr="00A128C6">
        <w:trPr>
          <w:trHeight w:val="703"/>
        </w:trPr>
        <w:tc>
          <w:tcPr>
            <w:tcW w:w="704" w:type="dxa"/>
          </w:tcPr>
          <w:p w14:paraId="4ED1BA83" w14:textId="77777777" w:rsidR="00400DDD" w:rsidRPr="00EE098E" w:rsidRDefault="00400DDD" w:rsidP="00EE098E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5EED2375" w14:textId="3ECC7B6B" w:rsidR="00400DDD" w:rsidRPr="00D83BA3" w:rsidRDefault="00400DDD" w:rsidP="00D83BA3">
            <w:pPr>
              <w:rPr>
                <w:sz w:val="24"/>
                <w:szCs w:val="24"/>
              </w:rPr>
            </w:pPr>
            <w:r w:rsidRPr="00D83BA3">
              <w:rPr>
                <w:sz w:val="24"/>
                <w:szCs w:val="24"/>
              </w:rPr>
              <w:t>Start screening and randomising</w:t>
            </w:r>
            <w:r w:rsidR="00631716">
              <w:rPr>
                <w:sz w:val="24"/>
                <w:szCs w:val="24"/>
              </w:rPr>
              <w:t>. Communicate with the clinical team to ensure trial awareness and adherence.</w:t>
            </w:r>
          </w:p>
        </w:tc>
        <w:sdt>
          <w:sdtPr>
            <w:rPr>
              <w:sz w:val="36"/>
              <w:szCs w:val="36"/>
            </w:rPr>
            <w:id w:val="1094054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4A76209C" w14:textId="707E00CD" w:rsidR="00400DDD" w:rsidRPr="00EE098E" w:rsidRDefault="00D83BA3" w:rsidP="00D83BA3">
                <w:pPr>
                  <w:rPr>
                    <w:sz w:val="36"/>
                    <w:szCs w:val="36"/>
                  </w:rPr>
                </w:pPr>
                <w:r w:rsidRPr="00EE098E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6DD58F71" w14:textId="77777777" w:rsidR="00057AB7" w:rsidRDefault="00057AB7" w:rsidP="001875EE">
      <w:pPr>
        <w:jc w:val="both"/>
        <w:rPr>
          <w:b/>
          <w:bCs/>
          <w:sz w:val="24"/>
          <w:szCs w:val="24"/>
          <w:u w:val="single"/>
        </w:rPr>
      </w:pPr>
    </w:p>
    <w:p w14:paraId="0728ED99" w14:textId="1C75CA10" w:rsidR="00F35406" w:rsidRPr="00F35406" w:rsidRDefault="00F35406" w:rsidP="001875EE">
      <w:pPr>
        <w:jc w:val="both"/>
        <w:rPr>
          <w:b/>
          <w:bCs/>
          <w:sz w:val="24"/>
          <w:szCs w:val="24"/>
          <w:u w:val="single"/>
        </w:rPr>
      </w:pPr>
      <w:r w:rsidRPr="00F35406">
        <w:rPr>
          <w:b/>
          <w:bCs/>
          <w:sz w:val="24"/>
          <w:szCs w:val="24"/>
          <w:u w:val="single"/>
        </w:rPr>
        <w:t>Trial awareness</w:t>
      </w:r>
    </w:p>
    <w:p w14:paraId="119F0F4D" w14:textId="785C4F78" w:rsidR="0070503F" w:rsidRDefault="0070503F" w:rsidP="001875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It is </w:t>
      </w:r>
      <w:r w:rsidRPr="00057AB7">
        <w:rPr>
          <w:sz w:val="24"/>
          <w:szCs w:val="24"/>
        </w:rPr>
        <w:t xml:space="preserve">important that </w:t>
      </w:r>
      <w:r w:rsidR="00A3161B" w:rsidRPr="00057AB7">
        <w:rPr>
          <w:sz w:val="24"/>
          <w:szCs w:val="24"/>
        </w:rPr>
        <w:t xml:space="preserve">your </w:t>
      </w:r>
      <w:r w:rsidRPr="00057AB7">
        <w:rPr>
          <w:sz w:val="24"/>
          <w:szCs w:val="24"/>
        </w:rPr>
        <w:t xml:space="preserve">fellow </w:t>
      </w:r>
      <w:r w:rsidR="004B0F67" w:rsidRPr="00057AB7">
        <w:rPr>
          <w:sz w:val="24"/>
          <w:szCs w:val="24"/>
        </w:rPr>
        <w:t xml:space="preserve">clinical staff </w:t>
      </w:r>
      <w:r w:rsidRPr="00057AB7">
        <w:rPr>
          <w:sz w:val="24"/>
          <w:szCs w:val="24"/>
        </w:rPr>
        <w:t xml:space="preserve"> are aware of the </w:t>
      </w:r>
      <w:r w:rsidR="009E38E4" w:rsidRPr="00057AB7">
        <w:rPr>
          <w:sz w:val="24"/>
          <w:szCs w:val="24"/>
        </w:rPr>
        <w:t xml:space="preserve">T4P </w:t>
      </w:r>
      <w:r w:rsidRPr="00057AB7">
        <w:rPr>
          <w:sz w:val="24"/>
          <w:szCs w:val="24"/>
        </w:rPr>
        <w:t xml:space="preserve">trial and understand that patients may be recruited into the trial, </w:t>
      </w:r>
      <w:r w:rsidR="00274208" w:rsidRPr="00057AB7">
        <w:rPr>
          <w:sz w:val="24"/>
          <w:szCs w:val="24"/>
        </w:rPr>
        <w:t xml:space="preserve">and </w:t>
      </w:r>
      <w:r w:rsidRPr="00057AB7">
        <w:rPr>
          <w:sz w:val="24"/>
          <w:szCs w:val="24"/>
        </w:rPr>
        <w:t>allocated to</w:t>
      </w:r>
      <w:r w:rsidR="00DE7DF3" w:rsidRPr="00057AB7">
        <w:rPr>
          <w:sz w:val="24"/>
          <w:szCs w:val="24"/>
        </w:rPr>
        <w:t xml:space="preserve"> </w:t>
      </w:r>
      <w:r w:rsidR="00274208" w:rsidRPr="00057AB7">
        <w:rPr>
          <w:sz w:val="24"/>
          <w:szCs w:val="24"/>
        </w:rPr>
        <w:t>one of five thresholds for platelet transfusion</w:t>
      </w:r>
      <w:r w:rsidRPr="00057AB7">
        <w:rPr>
          <w:sz w:val="24"/>
          <w:szCs w:val="24"/>
        </w:rPr>
        <w:t>. We have plenty of resources to help increase awareness of the trial on the unit.</w:t>
      </w:r>
      <w:r>
        <w:rPr>
          <w:sz w:val="24"/>
          <w:szCs w:val="24"/>
        </w:rPr>
        <w:t xml:space="preserve"> </w:t>
      </w:r>
    </w:p>
    <w:p w14:paraId="43EB156E" w14:textId="3CD128FD" w:rsidR="0070503F" w:rsidRDefault="00EE098E" w:rsidP="001875EE">
      <w:pPr>
        <w:jc w:val="both"/>
        <w:rPr>
          <w:sz w:val="24"/>
          <w:szCs w:val="24"/>
        </w:rPr>
      </w:pPr>
      <w:r>
        <w:rPr>
          <w:sz w:val="24"/>
          <w:szCs w:val="24"/>
        </w:rPr>
        <w:t>All of the trial resour</w:t>
      </w:r>
      <w:r w:rsidR="0070503F">
        <w:rPr>
          <w:sz w:val="24"/>
          <w:szCs w:val="24"/>
        </w:rPr>
        <w:t xml:space="preserve">ces can be found on our website </w:t>
      </w:r>
      <w:hyperlink r:id="rId12" w:history="1">
        <w:r w:rsidR="0070503F" w:rsidRPr="00DE7DF3">
          <w:rPr>
            <w:rStyle w:val="Hyperlink"/>
            <w:sz w:val="24"/>
            <w:szCs w:val="24"/>
          </w:rPr>
          <w:t>here</w:t>
        </w:r>
      </w:hyperlink>
      <w:r w:rsidR="0070503F">
        <w:rPr>
          <w:sz w:val="24"/>
          <w:szCs w:val="24"/>
        </w:rPr>
        <w:t>, or by scanning QR code</w:t>
      </w:r>
      <w:r w:rsidR="00DE7DF3">
        <w:rPr>
          <w:sz w:val="24"/>
          <w:szCs w:val="24"/>
        </w:rPr>
        <w:t xml:space="preserve"> 2 below</w:t>
      </w:r>
      <w:r w:rsidR="0070503F">
        <w:rPr>
          <w:sz w:val="24"/>
          <w:szCs w:val="24"/>
        </w:rPr>
        <w:t>.</w:t>
      </w:r>
    </w:p>
    <w:p w14:paraId="603C9A60" w14:textId="77777777" w:rsidR="004B0F67" w:rsidRDefault="004B0F67" w:rsidP="001875EE">
      <w:pPr>
        <w:jc w:val="both"/>
        <w:rPr>
          <w:sz w:val="24"/>
          <w:szCs w:val="24"/>
        </w:rPr>
      </w:pPr>
    </w:p>
    <w:p w14:paraId="5C5ACA15" w14:textId="3DC76B2C" w:rsidR="0070503F" w:rsidRPr="001D5240" w:rsidRDefault="001D5240" w:rsidP="001875EE">
      <w:pPr>
        <w:jc w:val="both"/>
        <w:rPr>
          <w:b/>
          <w:bCs/>
          <w:sz w:val="24"/>
          <w:szCs w:val="24"/>
          <w:u w:val="single"/>
        </w:rPr>
      </w:pPr>
      <w:r w:rsidRPr="001D5240">
        <w:rPr>
          <w:b/>
          <w:bCs/>
          <w:sz w:val="24"/>
          <w:szCs w:val="24"/>
          <w:u w:val="single"/>
        </w:rPr>
        <w:t>Associate PI Scheme</w:t>
      </w:r>
    </w:p>
    <w:p w14:paraId="13A58291" w14:textId="2DD4BD4C" w:rsidR="0070503F" w:rsidRDefault="0070503F" w:rsidP="001875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you are interested in getting more involved in the </w:t>
      </w:r>
      <w:r w:rsidR="009E38E4">
        <w:rPr>
          <w:sz w:val="24"/>
          <w:szCs w:val="24"/>
        </w:rPr>
        <w:t xml:space="preserve">T4P </w:t>
      </w:r>
      <w:r>
        <w:rPr>
          <w:sz w:val="24"/>
          <w:szCs w:val="24"/>
        </w:rPr>
        <w:t xml:space="preserve">Trial (and research in general), the trial is signed up to the Associate PI scheme. </w:t>
      </w:r>
      <w:r w:rsidRPr="0070503F">
        <w:rPr>
          <w:sz w:val="24"/>
          <w:szCs w:val="24"/>
        </w:rPr>
        <w:t xml:space="preserve">The Associate PI Scheme is a six month </w:t>
      </w:r>
      <w:r w:rsidR="00D22BB7">
        <w:rPr>
          <w:sz w:val="24"/>
          <w:szCs w:val="24"/>
        </w:rPr>
        <w:t xml:space="preserve">      </w:t>
      </w:r>
      <w:r w:rsidRPr="0070503F">
        <w:rPr>
          <w:sz w:val="24"/>
          <w:szCs w:val="24"/>
        </w:rPr>
        <w:t xml:space="preserve">in-work training </w:t>
      </w:r>
      <w:r w:rsidR="004B0F67">
        <w:rPr>
          <w:sz w:val="24"/>
          <w:szCs w:val="24"/>
        </w:rPr>
        <w:t xml:space="preserve">and development </w:t>
      </w:r>
      <w:r w:rsidRPr="0070503F">
        <w:rPr>
          <w:sz w:val="24"/>
          <w:szCs w:val="24"/>
        </w:rPr>
        <w:t>opportunity, providing practical</w:t>
      </w:r>
      <w:r>
        <w:rPr>
          <w:sz w:val="24"/>
          <w:szCs w:val="24"/>
        </w:rPr>
        <w:t xml:space="preserve"> experience for healthcare professionals </w:t>
      </w:r>
      <w:r w:rsidR="004B0F67">
        <w:rPr>
          <w:sz w:val="24"/>
          <w:szCs w:val="24"/>
        </w:rPr>
        <w:t>who would like to get more involved in research.</w:t>
      </w:r>
      <w:r>
        <w:rPr>
          <w:sz w:val="24"/>
          <w:szCs w:val="24"/>
        </w:rPr>
        <w:t xml:space="preserve">. </w:t>
      </w:r>
      <w:r w:rsidR="001D5240">
        <w:rPr>
          <w:sz w:val="24"/>
          <w:szCs w:val="24"/>
        </w:rPr>
        <w:t xml:space="preserve"> You will work alongside your local Principal investigator and complete a range of study activities.</w:t>
      </w:r>
    </w:p>
    <w:p w14:paraId="6D73103A" w14:textId="5DAF125E" w:rsidR="001D5240" w:rsidRDefault="001D5240" w:rsidP="001875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 can find out more about the scheme and how to sign up on the </w:t>
      </w:r>
      <w:hyperlink r:id="rId13" w:anchor="howitworks" w:history="1">
        <w:r w:rsidRPr="001D5240">
          <w:rPr>
            <w:rStyle w:val="Hyperlink"/>
            <w:sz w:val="24"/>
            <w:szCs w:val="24"/>
          </w:rPr>
          <w:t>NIHR website</w:t>
        </w:r>
      </w:hyperlink>
      <w:r>
        <w:rPr>
          <w:sz w:val="24"/>
          <w:szCs w:val="24"/>
        </w:rPr>
        <w:t xml:space="preserve">  or by scanning </w:t>
      </w:r>
      <w:r w:rsidR="00DE7DF3">
        <w:rPr>
          <w:sz w:val="24"/>
          <w:szCs w:val="24"/>
        </w:rPr>
        <w:t>QR code 3 below.</w:t>
      </w:r>
    </w:p>
    <w:p w14:paraId="2D24C418" w14:textId="702FC16B" w:rsidR="001875EE" w:rsidRDefault="001875EE" w:rsidP="001875EE">
      <w:pPr>
        <w:jc w:val="both"/>
        <w:rPr>
          <w:sz w:val="24"/>
          <w:szCs w:val="24"/>
        </w:rPr>
      </w:pP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3634"/>
        <w:gridCol w:w="2693"/>
        <w:gridCol w:w="2694"/>
      </w:tblGrid>
      <w:tr w:rsidR="00DE7DF3" w14:paraId="0C73B476" w14:textId="77777777" w:rsidTr="00DE7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34" w:type="dxa"/>
          </w:tcPr>
          <w:p w14:paraId="4E809852" w14:textId="0177AE0D" w:rsidR="00DE7DF3" w:rsidRPr="005A27D0" w:rsidRDefault="005A27D0" w:rsidP="005A27D0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5A27D0">
              <w:rPr>
                <w:sz w:val="24"/>
                <w:szCs w:val="24"/>
              </w:rPr>
              <w:t>About the trial</w:t>
            </w:r>
            <w:r w:rsidR="00DE7DF3" w:rsidRPr="005A27D0">
              <w:rPr>
                <w:sz w:val="24"/>
                <w:szCs w:val="24"/>
              </w:rPr>
              <w:t xml:space="preserve"> </w:t>
            </w:r>
          </w:p>
          <w:p w14:paraId="22F1BC66" w14:textId="172A3BB4" w:rsidR="006268B3" w:rsidRPr="006268B3" w:rsidRDefault="006268B3" w:rsidP="006268B3">
            <w:pPr>
              <w:jc w:val="both"/>
              <w:rPr>
                <w:sz w:val="24"/>
                <w:szCs w:val="24"/>
              </w:rPr>
            </w:pPr>
            <w:r w:rsidRPr="006268B3">
              <w:rPr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416A37F6" wp14:editId="6CDD3640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33973</wp:posOffset>
                  </wp:positionV>
                  <wp:extent cx="1062037" cy="1062037"/>
                  <wp:effectExtent l="0" t="0" r="5080" b="5080"/>
                  <wp:wrapNone/>
                  <wp:docPr id="91601106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037" cy="1062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653832" w14:textId="7E064FEA" w:rsidR="00DE7DF3" w:rsidRPr="00DE7DF3" w:rsidRDefault="00DE7DF3" w:rsidP="00DE7DF3">
            <w:pPr>
              <w:jc w:val="both"/>
              <w:rPr>
                <w:sz w:val="24"/>
                <w:szCs w:val="24"/>
              </w:rPr>
            </w:pPr>
          </w:p>
          <w:p w14:paraId="65987E65" w14:textId="119B7FB5" w:rsidR="00DE7DF3" w:rsidRDefault="00DE7DF3" w:rsidP="00DE7DF3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  <w:p w14:paraId="7C5CD48F" w14:textId="56E0C98F" w:rsidR="00DE7DF3" w:rsidRDefault="00DE7DF3" w:rsidP="00DE7DF3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  <w:p w14:paraId="6C913103" w14:textId="4EB6E973" w:rsidR="00DE7DF3" w:rsidRDefault="00DE7DF3" w:rsidP="00DE7DF3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  <w:p w14:paraId="6B89F6F4" w14:textId="77777777" w:rsidR="00DE7DF3" w:rsidRDefault="00DE7DF3" w:rsidP="00DE7DF3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  <w:p w14:paraId="4E030923" w14:textId="4764FB8E" w:rsidR="00DE7DF3" w:rsidRDefault="00DE7DF3" w:rsidP="00DE7DF3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5825CCD" w14:textId="07BD6B21" w:rsidR="00DE7DF3" w:rsidRDefault="006268B3" w:rsidP="00DE7DF3">
            <w:pPr>
              <w:pStyle w:val="ListParagraph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268B3">
              <w:rPr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21C8F43E" wp14:editId="5B1FC534">
                  <wp:simplePos x="0" y="0"/>
                  <wp:positionH relativeFrom="column">
                    <wp:posOffset>5397</wp:posOffset>
                  </wp:positionH>
                  <wp:positionV relativeFrom="paragraph">
                    <wp:posOffset>200660</wp:posOffset>
                  </wp:positionV>
                  <wp:extent cx="1081087" cy="1081087"/>
                  <wp:effectExtent l="0" t="0" r="5080" b="5080"/>
                  <wp:wrapNone/>
                  <wp:docPr id="107564021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087" cy="1081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7DF3">
              <w:rPr>
                <w:sz w:val="24"/>
                <w:szCs w:val="24"/>
              </w:rPr>
              <w:t xml:space="preserve">2. Trial Resources </w:t>
            </w:r>
          </w:p>
        </w:tc>
        <w:tc>
          <w:tcPr>
            <w:tcW w:w="2694" w:type="dxa"/>
          </w:tcPr>
          <w:p w14:paraId="552F238D" w14:textId="1E99D590" w:rsidR="00DE7DF3" w:rsidRDefault="006268B3" w:rsidP="00DE7DF3">
            <w:pPr>
              <w:pStyle w:val="ListParagraph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268B3">
              <w:rPr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04631A36" wp14:editId="1A08B54B">
                  <wp:simplePos x="0" y="0"/>
                  <wp:positionH relativeFrom="column">
                    <wp:posOffset>204787</wp:posOffset>
                  </wp:positionH>
                  <wp:positionV relativeFrom="paragraph">
                    <wp:posOffset>220028</wp:posOffset>
                  </wp:positionV>
                  <wp:extent cx="1052513" cy="1052513"/>
                  <wp:effectExtent l="0" t="0" r="0" b="0"/>
                  <wp:wrapNone/>
                  <wp:docPr id="211146560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513" cy="1052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7DF3">
              <w:rPr>
                <w:sz w:val="24"/>
                <w:szCs w:val="24"/>
              </w:rPr>
              <w:t>3. Associate PI Scheme</w:t>
            </w:r>
          </w:p>
        </w:tc>
      </w:tr>
    </w:tbl>
    <w:p w14:paraId="3551F4B5" w14:textId="0AC557B4" w:rsidR="0029350F" w:rsidRPr="0029350F" w:rsidRDefault="0029350F" w:rsidP="0029350F">
      <w:pPr>
        <w:pStyle w:val="ListParagraph"/>
        <w:rPr>
          <w:b/>
          <w:bCs/>
        </w:rPr>
      </w:pPr>
    </w:p>
    <w:p w14:paraId="0AB2B2D9" w14:textId="43047F70" w:rsidR="007A05AA" w:rsidRDefault="007A05AA" w:rsidP="008811F4"/>
    <w:sectPr w:rsidR="007A05AA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795B3" w14:textId="77777777" w:rsidR="0029350F" w:rsidRDefault="0029350F" w:rsidP="0029350F">
      <w:pPr>
        <w:spacing w:after="0" w:line="240" w:lineRule="auto"/>
      </w:pPr>
      <w:r>
        <w:separator/>
      </w:r>
    </w:p>
  </w:endnote>
  <w:endnote w:type="continuationSeparator" w:id="0">
    <w:p w14:paraId="49EF1A1D" w14:textId="77777777" w:rsidR="0029350F" w:rsidRDefault="0029350F" w:rsidP="00293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08744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C39D942" w14:textId="67FC901B" w:rsidR="001D5240" w:rsidRDefault="001D524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C46516E" w14:textId="6654BE23" w:rsidR="001D5240" w:rsidRDefault="009241BD">
    <w:pPr>
      <w:pStyle w:val="Footer"/>
    </w:pPr>
    <w:r w:rsidRPr="009241BD">
      <w:t xml:space="preserve">T4P: </w:t>
    </w:r>
    <w:r>
      <w:t xml:space="preserve">Clinical Team Training Checklist </w:t>
    </w:r>
    <w:r w:rsidR="00C7289F">
      <w:t>V</w:t>
    </w:r>
    <w:r w:rsidR="00A43B59">
      <w:t>1</w:t>
    </w:r>
    <w:r w:rsidR="00C7289F">
      <w:t>.</w:t>
    </w:r>
    <w:r w:rsidR="006268B3">
      <w:t>1</w:t>
    </w:r>
    <w:r w:rsidRPr="009241BD">
      <w:t xml:space="preserve"> </w:t>
    </w:r>
    <w:r w:rsidR="006268B3">
      <w:t>20</w:t>
    </w:r>
    <w:r w:rsidRPr="009241BD">
      <w:t xml:space="preserve"> </w:t>
    </w:r>
    <w:r w:rsidR="006268B3">
      <w:t>August</w:t>
    </w:r>
    <w:r w:rsidRPr="009241BD">
      <w:t xml:space="preserve"> 202</w:t>
    </w:r>
    <w: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B6E93" w14:textId="77777777" w:rsidR="0029350F" w:rsidRDefault="0029350F" w:rsidP="0029350F">
      <w:pPr>
        <w:spacing w:after="0" w:line="240" w:lineRule="auto"/>
      </w:pPr>
      <w:r>
        <w:separator/>
      </w:r>
    </w:p>
  </w:footnote>
  <w:footnote w:type="continuationSeparator" w:id="0">
    <w:p w14:paraId="0612E0A5" w14:textId="77777777" w:rsidR="0029350F" w:rsidRDefault="0029350F" w:rsidP="00293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7F65A" w14:textId="35E72567" w:rsidR="0029350F" w:rsidRDefault="009241BD">
    <w:pPr>
      <w:pStyle w:val="Header"/>
    </w:pPr>
    <w:r>
      <w:rPr>
        <w:rFonts w:cs="Arial"/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44FB7D" wp14:editId="149405A1">
              <wp:simplePos x="0" y="0"/>
              <wp:positionH relativeFrom="column">
                <wp:posOffset>5324474</wp:posOffset>
              </wp:positionH>
              <wp:positionV relativeFrom="paragraph">
                <wp:posOffset>-401955</wp:posOffset>
              </wp:positionV>
              <wp:extent cx="0" cy="781050"/>
              <wp:effectExtent l="0" t="0" r="38100" b="19050"/>
              <wp:wrapNone/>
              <wp:docPr id="740040477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78105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92465C"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25pt,-31.65pt" to="419.2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" strokecolor="#0f9ed5 [3207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222AC13" wp14:editId="3594EF31">
              <wp:simplePos x="0" y="0"/>
              <wp:positionH relativeFrom="margin">
                <wp:posOffset>1068705</wp:posOffset>
              </wp:positionH>
              <wp:positionV relativeFrom="paragraph">
                <wp:posOffset>-360680</wp:posOffset>
              </wp:positionV>
              <wp:extent cx="3911600" cy="679450"/>
              <wp:effectExtent l="0" t="0" r="12700" b="254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1600" cy="679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2166AC" w14:textId="77777777" w:rsidR="008F41BE" w:rsidRDefault="008F41BE" w:rsidP="008F41BE">
                          <w:r w:rsidRPr="008C4DFA">
                            <w:rPr>
                              <w:rFonts w:asciiTheme="majorHAnsi" w:hAnsiTheme="majorHAnsi" w:cstheme="majorHAnsi"/>
                              <w:b/>
                              <w:bCs/>
                            </w:rPr>
                            <w:t>The Threshold for Platelets study</w:t>
                          </w:r>
                          <w:r w:rsidRPr="00E32256">
                            <w:rPr>
                              <w:rFonts w:asciiTheme="majorHAnsi" w:hAnsiTheme="majorHAnsi" w:cstheme="majorHAnsi"/>
                            </w:rPr>
                            <w:t>: a prospective randomised trial to define the platelet count below which critically ill patients should receive a platelet transfusion prior to an invasive procedure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22AC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15pt;margin-top:-28.4pt;width:308pt;height:5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">
              <v:textbox>
                <w:txbxContent>
                  <w:p w14:paraId="302166AC" w14:textId="77777777" w:rsidR="008F41BE" w:rsidRDefault="008F41BE" w:rsidP="008F41BE">
                    <w:r w:rsidRPr="008C4DFA">
                      <w:rPr>
                        <w:rFonts w:asciiTheme="majorHAnsi" w:hAnsiTheme="majorHAnsi" w:cstheme="majorHAnsi"/>
                        <w:b/>
                        <w:bCs/>
                      </w:rPr>
                      <w:t>The Threshold for Platelets study</w:t>
                    </w:r>
                    <w:r w:rsidRPr="00E32256">
                      <w:rPr>
                        <w:rFonts w:asciiTheme="majorHAnsi" w:hAnsiTheme="majorHAnsi" w:cstheme="majorHAnsi"/>
                      </w:rPr>
                      <w:t>: a prospective randomised trial to define the platelet count below which critically ill patients should receive a platelet transfusion prior to an invasive procedure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754798">
      <w:rPr>
        <w:noProof/>
      </w:rPr>
      <w:drawing>
        <wp:anchor distT="0" distB="0" distL="114300" distR="114300" simplePos="0" relativeHeight="251664384" behindDoc="0" locked="0" layoutInCell="1" allowOverlap="1" wp14:anchorId="52E342D6" wp14:editId="3F6E1EBF">
          <wp:simplePos x="0" y="0"/>
          <wp:positionH relativeFrom="margin">
            <wp:posOffset>-107950</wp:posOffset>
          </wp:positionH>
          <wp:positionV relativeFrom="paragraph">
            <wp:posOffset>-365125</wp:posOffset>
          </wp:positionV>
          <wp:extent cx="927100" cy="639851"/>
          <wp:effectExtent l="0" t="0" r="6350" b="8255"/>
          <wp:wrapNone/>
          <wp:docPr id="9" name="Picture 8" descr="Ic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2ACB915-8956-4219-7A67-7E4519AC57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Icon&#10;&#10;Description automatically generated">
                    <a:extLst>
                      <a:ext uri="{FF2B5EF4-FFF2-40B4-BE49-F238E27FC236}">
                        <a16:creationId xmlns:a16="http://schemas.microsoft.com/office/drawing/2014/main" id="{12ACB915-8956-4219-7A67-7E4519AC57A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6398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CFB207" wp14:editId="03413E2B">
              <wp:simplePos x="0" y="0"/>
              <wp:positionH relativeFrom="column">
                <wp:posOffset>5271135</wp:posOffset>
              </wp:positionH>
              <wp:positionV relativeFrom="paragraph">
                <wp:posOffset>-444500</wp:posOffset>
              </wp:positionV>
              <wp:extent cx="1671725" cy="1015364"/>
              <wp:effectExtent l="0" t="0" r="5080" b="0"/>
              <wp:wrapNone/>
              <wp:docPr id="3168487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1725" cy="1015364"/>
                      </a:xfrm>
                      <a:prstGeom prst="rect">
                        <a:avLst/>
                      </a:prstGeom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403978" w14:textId="77777777" w:rsidR="009E38E4" w:rsidRPr="00E539AB" w:rsidRDefault="009E38E4" w:rsidP="009E38E4">
                          <w:pPr>
                            <w:pStyle w:val="Header"/>
                            <w:rPr>
                              <w:rFonts w:cs="Arial"/>
                              <w:noProof/>
                              <w:sz w:val="18"/>
                              <w:szCs w:val="16"/>
                            </w:rPr>
                          </w:pPr>
                          <w:r w:rsidRPr="00E539AB">
                            <w:rPr>
                              <w:rFonts w:cs="Arial"/>
                              <w:noProof/>
                              <w:sz w:val="18"/>
                              <w:szCs w:val="16"/>
                            </w:rPr>
                            <w:t>ICNARC</w:t>
                          </w:r>
                        </w:p>
                        <w:p w14:paraId="4BE98556" w14:textId="77777777" w:rsidR="009E38E4" w:rsidRPr="00E539AB" w:rsidRDefault="009E38E4" w:rsidP="009E38E4">
                          <w:pPr>
                            <w:pStyle w:val="Header"/>
                            <w:rPr>
                              <w:rFonts w:cs="Arial"/>
                              <w:noProof/>
                              <w:sz w:val="18"/>
                              <w:szCs w:val="16"/>
                            </w:rPr>
                          </w:pPr>
                          <w:r w:rsidRPr="00E539AB">
                            <w:rPr>
                              <w:rFonts w:cs="Arial"/>
                              <w:noProof/>
                              <w:sz w:val="18"/>
                              <w:szCs w:val="16"/>
                            </w:rPr>
                            <w:t>Napier House</w:t>
                          </w:r>
                        </w:p>
                        <w:p w14:paraId="58AD1ECA" w14:textId="77777777" w:rsidR="009E38E4" w:rsidRPr="00E539AB" w:rsidRDefault="009E38E4" w:rsidP="009E38E4">
                          <w:pPr>
                            <w:pStyle w:val="Header"/>
                            <w:rPr>
                              <w:rFonts w:cs="Arial"/>
                              <w:noProof/>
                              <w:sz w:val="18"/>
                              <w:szCs w:val="16"/>
                            </w:rPr>
                          </w:pPr>
                          <w:r w:rsidRPr="00E539AB">
                            <w:rPr>
                              <w:rFonts w:cs="Arial"/>
                              <w:noProof/>
                              <w:sz w:val="18"/>
                              <w:szCs w:val="16"/>
                            </w:rPr>
                            <w:t>24 High Holborn</w:t>
                          </w:r>
                        </w:p>
                        <w:p w14:paraId="04831077" w14:textId="77777777" w:rsidR="009E38E4" w:rsidRPr="00E539AB" w:rsidRDefault="009E38E4" w:rsidP="009E38E4">
                          <w:pPr>
                            <w:pStyle w:val="Header"/>
                            <w:rPr>
                              <w:rFonts w:cs="Arial"/>
                              <w:noProof/>
                              <w:sz w:val="18"/>
                              <w:szCs w:val="16"/>
                            </w:rPr>
                          </w:pPr>
                          <w:r w:rsidRPr="00E539AB">
                            <w:rPr>
                              <w:rFonts w:cs="Arial"/>
                              <w:noProof/>
                              <w:sz w:val="18"/>
                              <w:szCs w:val="16"/>
                            </w:rPr>
                            <w:t>London WC1V 6AZ</w:t>
                          </w:r>
                        </w:p>
                        <w:p w14:paraId="331B59FB" w14:textId="77777777" w:rsidR="009E38E4" w:rsidRPr="00E539AB" w:rsidRDefault="009E38E4" w:rsidP="009E38E4">
                          <w:pPr>
                            <w:pStyle w:val="Header"/>
                            <w:rPr>
                              <w:rFonts w:cs="Arial"/>
                              <w:sz w:val="18"/>
                              <w:szCs w:val="16"/>
                            </w:rPr>
                          </w:pPr>
                          <w:r w:rsidRPr="00E539AB">
                            <w:rPr>
                              <w:rFonts w:cs="Arial"/>
                              <w:noProof/>
                              <w:sz w:val="18"/>
                              <w:szCs w:val="16"/>
                            </w:rPr>
                            <w:br/>
                            <w:t xml:space="preserve">Email: </w:t>
                          </w:r>
                          <w:r>
                            <w:rPr>
                              <w:rFonts w:cs="Arial"/>
                              <w:noProof/>
                              <w:sz w:val="18"/>
                              <w:szCs w:val="16"/>
                            </w:rPr>
                            <w:t>T4P</w:t>
                          </w:r>
                          <w:r w:rsidRPr="00E539AB">
                            <w:rPr>
                              <w:rFonts w:cs="Arial"/>
                              <w:noProof/>
                              <w:sz w:val="18"/>
                              <w:szCs w:val="16"/>
                            </w:rPr>
                            <w:t>@icnarc.org</w:t>
                          </w:r>
                        </w:p>
                        <w:p w14:paraId="3278D4A8" w14:textId="55269C1F" w:rsidR="00B8157A" w:rsidRPr="00E539AB" w:rsidRDefault="00B8157A" w:rsidP="00B8157A">
                          <w:pPr>
                            <w:pStyle w:val="Header"/>
                            <w:rPr>
                              <w:rFonts w:cs="Arial"/>
                              <w:sz w:val="18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9CFB207" id="Text Box 1" o:spid="_x0000_s1027" type="#_x0000_t202" style="position:absolute;margin-left:415.05pt;margin-top:-35pt;width:131.65pt;height:79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" fillcolor="white [3201]" stroked="f" strokeweight="1pt">
              <v:textbox style="mso-fit-shape-to-text:t">
                <w:txbxContent>
                  <w:p w14:paraId="45403978" w14:textId="77777777" w:rsidR="009E38E4" w:rsidRPr="00E539AB" w:rsidRDefault="009E38E4" w:rsidP="009E38E4">
                    <w:pPr>
                      <w:pStyle w:val="Header"/>
                      <w:rPr>
                        <w:rFonts w:cs="Arial"/>
                        <w:noProof/>
                        <w:sz w:val="18"/>
                        <w:szCs w:val="16"/>
                      </w:rPr>
                    </w:pPr>
                    <w:r w:rsidRPr="00E539AB">
                      <w:rPr>
                        <w:rFonts w:cs="Arial"/>
                        <w:noProof/>
                        <w:sz w:val="18"/>
                        <w:szCs w:val="16"/>
                      </w:rPr>
                      <w:t>ICNARC</w:t>
                    </w:r>
                  </w:p>
                  <w:p w14:paraId="4BE98556" w14:textId="77777777" w:rsidR="009E38E4" w:rsidRPr="00E539AB" w:rsidRDefault="009E38E4" w:rsidP="009E38E4">
                    <w:pPr>
                      <w:pStyle w:val="Header"/>
                      <w:rPr>
                        <w:rFonts w:cs="Arial"/>
                        <w:noProof/>
                        <w:sz w:val="18"/>
                        <w:szCs w:val="16"/>
                      </w:rPr>
                    </w:pPr>
                    <w:r w:rsidRPr="00E539AB">
                      <w:rPr>
                        <w:rFonts w:cs="Arial"/>
                        <w:noProof/>
                        <w:sz w:val="18"/>
                        <w:szCs w:val="16"/>
                      </w:rPr>
                      <w:t>Napier House</w:t>
                    </w:r>
                  </w:p>
                  <w:p w14:paraId="58AD1ECA" w14:textId="77777777" w:rsidR="009E38E4" w:rsidRPr="00E539AB" w:rsidRDefault="009E38E4" w:rsidP="009E38E4">
                    <w:pPr>
                      <w:pStyle w:val="Header"/>
                      <w:rPr>
                        <w:rFonts w:cs="Arial"/>
                        <w:noProof/>
                        <w:sz w:val="18"/>
                        <w:szCs w:val="16"/>
                      </w:rPr>
                    </w:pPr>
                    <w:r w:rsidRPr="00E539AB">
                      <w:rPr>
                        <w:rFonts w:cs="Arial"/>
                        <w:noProof/>
                        <w:sz w:val="18"/>
                        <w:szCs w:val="16"/>
                      </w:rPr>
                      <w:t>24 High Holborn</w:t>
                    </w:r>
                  </w:p>
                  <w:p w14:paraId="04831077" w14:textId="77777777" w:rsidR="009E38E4" w:rsidRPr="00E539AB" w:rsidRDefault="009E38E4" w:rsidP="009E38E4">
                    <w:pPr>
                      <w:pStyle w:val="Header"/>
                      <w:rPr>
                        <w:rFonts w:cs="Arial"/>
                        <w:noProof/>
                        <w:sz w:val="18"/>
                        <w:szCs w:val="16"/>
                      </w:rPr>
                    </w:pPr>
                    <w:r w:rsidRPr="00E539AB">
                      <w:rPr>
                        <w:rFonts w:cs="Arial"/>
                        <w:noProof/>
                        <w:sz w:val="18"/>
                        <w:szCs w:val="16"/>
                      </w:rPr>
                      <w:t>London WC1V 6AZ</w:t>
                    </w:r>
                  </w:p>
                  <w:p w14:paraId="331B59FB" w14:textId="77777777" w:rsidR="009E38E4" w:rsidRPr="00E539AB" w:rsidRDefault="009E38E4" w:rsidP="009E38E4">
                    <w:pPr>
                      <w:pStyle w:val="Header"/>
                      <w:rPr>
                        <w:rFonts w:cs="Arial"/>
                        <w:sz w:val="18"/>
                        <w:szCs w:val="16"/>
                      </w:rPr>
                    </w:pPr>
                    <w:r w:rsidRPr="00E539AB">
                      <w:rPr>
                        <w:rFonts w:cs="Arial"/>
                        <w:noProof/>
                        <w:sz w:val="18"/>
                        <w:szCs w:val="16"/>
                      </w:rPr>
                      <w:br/>
                      <w:t xml:space="preserve">Email: </w:t>
                    </w:r>
                    <w:r>
                      <w:rPr>
                        <w:rFonts w:cs="Arial"/>
                        <w:noProof/>
                        <w:sz w:val="18"/>
                        <w:szCs w:val="16"/>
                      </w:rPr>
                      <w:t>T4P</w:t>
                    </w:r>
                    <w:r w:rsidRPr="00E539AB">
                      <w:rPr>
                        <w:rFonts w:cs="Arial"/>
                        <w:noProof/>
                        <w:sz w:val="18"/>
                        <w:szCs w:val="16"/>
                      </w:rPr>
                      <w:t>@icnarc.org</w:t>
                    </w:r>
                  </w:p>
                  <w:p w14:paraId="3278D4A8" w14:textId="55269C1F" w:rsidR="00B8157A" w:rsidRPr="00E539AB" w:rsidRDefault="00B8157A" w:rsidP="00B8157A">
                    <w:pPr>
                      <w:pStyle w:val="Header"/>
                      <w:rPr>
                        <w:rFonts w:cs="Arial"/>
                        <w:sz w:val="18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F3828"/>
    <w:multiLevelType w:val="hybridMultilevel"/>
    <w:tmpl w:val="0B761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F19D7"/>
    <w:multiLevelType w:val="hybridMultilevel"/>
    <w:tmpl w:val="31AC10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43AF0"/>
    <w:multiLevelType w:val="hybridMultilevel"/>
    <w:tmpl w:val="6A940E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C6D4A"/>
    <w:multiLevelType w:val="hybridMultilevel"/>
    <w:tmpl w:val="E4BCB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13555"/>
    <w:multiLevelType w:val="hybridMultilevel"/>
    <w:tmpl w:val="2C74BD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10610"/>
    <w:multiLevelType w:val="hybridMultilevel"/>
    <w:tmpl w:val="4642B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947077">
    <w:abstractNumId w:val="3"/>
  </w:num>
  <w:num w:numId="2" w16cid:durableId="1327904154">
    <w:abstractNumId w:val="1"/>
  </w:num>
  <w:num w:numId="3" w16cid:durableId="2121992659">
    <w:abstractNumId w:val="0"/>
  </w:num>
  <w:num w:numId="4" w16cid:durableId="134762649">
    <w:abstractNumId w:val="2"/>
  </w:num>
  <w:num w:numId="5" w16cid:durableId="837891415">
    <w:abstractNumId w:val="4"/>
  </w:num>
  <w:num w:numId="6" w16cid:durableId="1200170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4F"/>
    <w:rsid w:val="00057AB7"/>
    <w:rsid w:val="000D25B1"/>
    <w:rsid w:val="0015786A"/>
    <w:rsid w:val="00175C2C"/>
    <w:rsid w:val="001875EE"/>
    <w:rsid w:val="001A4818"/>
    <w:rsid w:val="001D5240"/>
    <w:rsid w:val="0020320D"/>
    <w:rsid w:val="0025382C"/>
    <w:rsid w:val="00263E30"/>
    <w:rsid w:val="00274208"/>
    <w:rsid w:val="00290223"/>
    <w:rsid w:val="0029350F"/>
    <w:rsid w:val="002A4719"/>
    <w:rsid w:val="0030624F"/>
    <w:rsid w:val="00340D7A"/>
    <w:rsid w:val="003E78F4"/>
    <w:rsid w:val="00400DDD"/>
    <w:rsid w:val="004B0F67"/>
    <w:rsid w:val="004E29B4"/>
    <w:rsid w:val="0057387B"/>
    <w:rsid w:val="005A27D0"/>
    <w:rsid w:val="00606725"/>
    <w:rsid w:val="006268B3"/>
    <w:rsid w:val="00631716"/>
    <w:rsid w:val="0066541D"/>
    <w:rsid w:val="006D6AF7"/>
    <w:rsid w:val="0070503F"/>
    <w:rsid w:val="007106C0"/>
    <w:rsid w:val="007A05AA"/>
    <w:rsid w:val="007F562A"/>
    <w:rsid w:val="0086692C"/>
    <w:rsid w:val="008811F4"/>
    <w:rsid w:val="008F41BE"/>
    <w:rsid w:val="00913C06"/>
    <w:rsid w:val="009241BD"/>
    <w:rsid w:val="009E38E4"/>
    <w:rsid w:val="00A128C6"/>
    <w:rsid w:val="00A27A33"/>
    <w:rsid w:val="00A3161B"/>
    <w:rsid w:val="00A43B59"/>
    <w:rsid w:val="00AC1EBF"/>
    <w:rsid w:val="00AE0107"/>
    <w:rsid w:val="00B172F8"/>
    <w:rsid w:val="00B23C75"/>
    <w:rsid w:val="00B36BE1"/>
    <w:rsid w:val="00B8157A"/>
    <w:rsid w:val="00B87887"/>
    <w:rsid w:val="00C7289F"/>
    <w:rsid w:val="00D14A70"/>
    <w:rsid w:val="00D22BB7"/>
    <w:rsid w:val="00D83BA3"/>
    <w:rsid w:val="00DC3A93"/>
    <w:rsid w:val="00DE7DF3"/>
    <w:rsid w:val="00E16316"/>
    <w:rsid w:val="00E31D12"/>
    <w:rsid w:val="00E71031"/>
    <w:rsid w:val="00EB1FA7"/>
    <w:rsid w:val="00EE098E"/>
    <w:rsid w:val="00F35406"/>
    <w:rsid w:val="00FD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52CB605"/>
  <w15:chartTrackingRefBased/>
  <w15:docId w15:val="{8F0C1830-A3EA-4541-A365-3108D867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6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2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2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2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2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2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2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2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2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2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2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2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2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2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2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2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6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6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2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62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62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2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2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2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62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2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3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50F"/>
  </w:style>
  <w:style w:type="paragraph" w:styleId="Footer">
    <w:name w:val="footer"/>
    <w:basedOn w:val="Normal"/>
    <w:link w:val="FooterChar"/>
    <w:uiPriority w:val="99"/>
    <w:unhideWhenUsed/>
    <w:rsid w:val="00293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50F"/>
  </w:style>
  <w:style w:type="table" w:styleId="TableGrid">
    <w:name w:val="Table Grid"/>
    <w:basedOn w:val="TableNormal"/>
    <w:uiPriority w:val="39"/>
    <w:rsid w:val="00187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E09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EE098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EE09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EE098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DE7DF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D6C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C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C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C0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74208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8F41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4P@icnarc.org" TargetMode="External"/><Relationship Id="rId13" Type="http://schemas.openxmlformats.org/officeDocument/2006/relationships/hyperlink" Target="https://www.nihr.ac.uk/health-and-care-professionals/training/associate-principal-investigator-scheme.ht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cnarc.org/research-studies/t4p/" TargetMode="External"/><Relationship Id="rId12" Type="http://schemas.openxmlformats.org/officeDocument/2006/relationships/hyperlink" Target="https://www.icnarc.org/research-studies/t4p/for-sites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%20T4P@icnarc.or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www.icnarc.org/research-studies/t4p/for-sites/training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cnarc.org/research-studies/t4p/for-sites/training/" TargetMode="Externa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Francis Johnson</dc:creator>
  <cp:keywords/>
  <dc:description/>
  <cp:lastModifiedBy>Niamh Wood</cp:lastModifiedBy>
  <cp:revision>6</cp:revision>
  <dcterms:created xsi:type="dcterms:W3CDTF">2024-07-18T08:56:00Z</dcterms:created>
  <dcterms:modified xsi:type="dcterms:W3CDTF">2024-08-20T13:16:00Z</dcterms:modified>
</cp:coreProperties>
</file>